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B8" w:rsidRPr="00314BB8" w:rsidRDefault="00314BB8" w:rsidP="00314B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Письмо</w:t>
      </w:r>
      <w:r w:rsidRPr="00314B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314B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Минобрнауки</w:t>
      </w:r>
      <w:proofErr w:type="spellEnd"/>
      <w:r w:rsidRPr="00314B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России от 28.02.2014 N 08-249 "Комментарии к ФГОС дошкольного образования"</w:t>
      </w:r>
    </w:p>
    <w:p w:rsidR="00314BB8" w:rsidRPr="00314BB8" w:rsidRDefault="00314BB8" w:rsidP="00314B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16 февраля 2018 г. 6:34 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100001"/>
      <w:bookmarkEnd w:id="0"/>
      <w:r w:rsidRPr="00314BB8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100002"/>
      <w:bookmarkEnd w:id="1"/>
      <w:r w:rsidRPr="00314BB8">
        <w:rPr>
          <w:rFonts w:ascii="Times New Roman" w:eastAsia="Times New Roman" w:hAnsi="Times New Roman" w:cs="Times New Roman"/>
          <w:sz w:val="24"/>
          <w:szCs w:val="24"/>
        </w:rPr>
        <w:t>ДЕПАРТАМЕНТ ОБЩЕГО ОБРАЗОВАНИЯ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100003"/>
      <w:bookmarkEnd w:id="2"/>
      <w:r w:rsidRPr="00314BB8">
        <w:rPr>
          <w:rFonts w:ascii="Times New Roman" w:eastAsia="Times New Roman" w:hAnsi="Times New Roman" w:cs="Times New Roman"/>
          <w:sz w:val="24"/>
          <w:szCs w:val="24"/>
        </w:rPr>
        <w:t>ПИСЬМО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BB8">
        <w:rPr>
          <w:rFonts w:ascii="Times New Roman" w:eastAsia="Times New Roman" w:hAnsi="Times New Roman" w:cs="Times New Roman"/>
          <w:sz w:val="24"/>
          <w:szCs w:val="24"/>
        </w:rPr>
        <w:t>от 28 февраля 2014 г. N 08-249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100004"/>
      <w:bookmarkEnd w:id="3"/>
      <w:r w:rsidRPr="00314BB8">
        <w:rPr>
          <w:rFonts w:ascii="Times New Roman" w:eastAsia="Times New Roman" w:hAnsi="Times New Roman" w:cs="Times New Roman"/>
          <w:sz w:val="24"/>
          <w:szCs w:val="24"/>
        </w:rPr>
        <w:t>КОММЕНТАРИИ К ФГОС ДОШКОЛЬНОГО ОБРАЗОВАНИЯ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100005"/>
      <w:bookmarkEnd w:id="4"/>
      <w:r w:rsidRPr="00314BB8">
        <w:rPr>
          <w:rFonts w:ascii="Times New Roman" w:eastAsia="Times New Roman" w:hAnsi="Times New Roman" w:cs="Times New Roman"/>
          <w:sz w:val="24"/>
          <w:szCs w:val="24"/>
        </w:rPr>
        <w:t>Во исполнение пункта 1.3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(утвержденного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ервым заместителем Министра образования и науки Российской Федерации Н.В. Третьяк 31 декабря 2013 г.) Департамент государственной политики в сфере общего образования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России направляет </w:t>
      </w:r>
      <w:hyperlink r:id="rId4" w:anchor="100009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комментарии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по отдельным вопросам введения федерального государственного образовательного </w:t>
      </w:r>
      <w:hyperlink r:id="rId5" w:anchor="100014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стандарта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образования, утвержденного приказом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России от 17 октября 2013 г. N 1155 (зарегистрирован в Минюсте России 14 ноября 2013 г. N 30384).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100006"/>
      <w:bookmarkEnd w:id="5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Настоящие </w:t>
      </w:r>
      <w:hyperlink r:id="rId6" w:anchor="100009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комментарии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были разработаны ФГАУ "Федеральный институт развития образования" на основе вопросов, возникающих у 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руководителей образовательных организаций, реализующих образовательные программы дошкольного образования и практических работников дошкольного образования.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100007"/>
      <w:bookmarkEnd w:id="6"/>
      <w:r w:rsidRPr="00314BB8">
        <w:rPr>
          <w:rFonts w:ascii="Times New Roman" w:eastAsia="Times New Roman" w:hAnsi="Times New Roman" w:cs="Times New Roman"/>
          <w:sz w:val="24"/>
          <w:szCs w:val="24"/>
        </w:rPr>
        <w:t>Заместитель директора Департамента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BB8">
        <w:rPr>
          <w:rFonts w:ascii="Times New Roman" w:eastAsia="Times New Roman" w:hAnsi="Times New Roman" w:cs="Times New Roman"/>
          <w:sz w:val="24"/>
          <w:szCs w:val="24"/>
        </w:rPr>
        <w:t>Ю.В.СМИРНОВА</w:t>
      </w:r>
    </w:p>
    <w:p w:rsidR="00314BB8" w:rsidRPr="00314BB8" w:rsidRDefault="00314BB8" w:rsidP="00314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14BB8" w:rsidRPr="00314BB8" w:rsidRDefault="00314BB8" w:rsidP="00314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14BB8" w:rsidRPr="00314BB8" w:rsidRDefault="00314BB8" w:rsidP="00314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100008"/>
      <w:bookmarkEnd w:id="7"/>
      <w:r w:rsidRPr="00314BB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100009"/>
      <w:bookmarkEnd w:id="8"/>
      <w:r w:rsidRPr="00314BB8">
        <w:rPr>
          <w:rFonts w:ascii="Times New Roman" w:eastAsia="Times New Roman" w:hAnsi="Times New Roman" w:cs="Times New Roman"/>
          <w:sz w:val="24"/>
          <w:szCs w:val="24"/>
        </w:rPr>
        <w:t>КОММЕНТАРИИ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BB8">
        <w:rPr>
          <w:rFonts w:ascii="Times New Roman" w:eastAsia="Times New Roman" w:hAnsi="Times New Roman" w:cs="Times New Roman"/>
          <w:sz w:val="24"/>
          <w:szCs w:val="24"/>
        </w:rPr>
        <w:t>К ФЕДЕРАЛЬНОМУ ГОСУДАРСТВЕННОМУ ОБРАЗОВАТЕЛЬНОМУ СТАНДАРТУ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BB8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100010"/>
      <w:bookmarkEnd w:id="9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7" w:anchor="100030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 пункта 1.3 подпункта 2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" w:name="100011"/>
      <w:bookmarkEnd w:id="10"/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данном </w:t>
      </w:r>
      <w:hyperlink r:id="rId8" w:anchor="100030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пункте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дошкольного образования (далее - ФГОС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>) содержится указание на разные возрастные возможности детей при разработке и реализации образовательной программы (далее - Программа) в организации, осуществляющей образовательную деятельность (далее - Организация). На практике чаще всего (в условиях организации одновозрастных групп) Программа формируется для детей разного возраста, с разбивкой на этапы освоения: начальный - для детей раннего (младенческого) возраста, завершающий - старшего дошкольного возраста. Разнообразие возрастных возможностей детей требует создания разных условий, что учитывается требованиями Стандарта. В то же время,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детей, например, при появлении ребенка в группе детского сада в середине/конце освоения Программы группой. В этом случае педагоги должны ориентироваться на интересы, возможности и склонности ребенка, а не на содержание текущего этапа Программы.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100012"/>
      <w:bookmarkEnd w:id="11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9" w:anchor="100071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 пункта 2.2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2" w:name="100013"/>
      <w:bookmarkEnd w:id="12"/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данным </w:t>
      </w:r>
      <w:hyperlink r:id="rId10" w:anchor="100071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Стандарта, а также с </w:t>
      </w:r>
      <w:hyperlink r:id="rId11" w:anchor="100041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13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России от 30 августа 2013 г. N 1014) группы различной направленности (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>, компенсирующей, оздоровительной или комбинированной), являющиеся структурными подразделениями дошкольной образовательной организации (далее - ДОО) и ведущие образовательную деятельность, могут реализовывать разные образовательные программы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ФГОС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учетом примерных основных образовательных программ дошкольного образования.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</w:t>
      </w:r>
      <w:hyperlink r:id="rId12" w:anchor="100022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пункта 9 статьи 2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 от 29 декабря 2012 г. N 273-ФЗ (далее - Закон). При этом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если образовательная программа для отдельной группы ДОО разрабатывается с использованием примерной основной образовательной программы, обязательная часть образовательной программы группы в соответствии с </w:t>
      </w:r>
      <w:hyperlink r:id="rId13" w:anchor="10013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2.12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ФГОС ДО может быть оформлена в виде ссылки на соответствующую примерную основную образовательную программу.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Часть программы, формируемая участниками образовательных отношений, в соответствии с </w:t>
      </w:r>
      <w:hyperlink r:id="rId14" w:anchor="10013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2.12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ФГОС ДО также может быть оформлена в виде ссылки на соответствующую методическую литературу, представляющую парциальные программы и/или методические разработки, используемые группой при реализации этой части программы.</w:t>
      </w:r>
      <w:proofErr w:type="gramEnd"/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3" w:name="100014"/>
      <w:bookmarkEnd w:id="13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Если образовательная программа группы разрабатывается исключительно на основании требований ФГОС ДО без учета примерной (примерных) программ, то обязательная часть и часть, формируемая участниками образовательного процесса, разрабатываются в соответствии с требованиями </w:t>
      </w:r>
      <w:hyperlink r:id="rId15" w:anchor="10010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пункта 2.11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ФГОС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4" w:name="100015"/>
      <w:bookmarkEnd w:id="14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16" w:anchor="100076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 пункта 2.5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5" w:name="100016"/>
      <w:bookmarkEnd w:id="15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hyperlink r:id="rId17" w:anchor="100076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норма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предполагает, что при разработке образовательной программы (программ) конкретной Организации могут использоваться примерные основные образовательные программы дошкольного образования, входящие в реестр примерных основных образовательных программ (</w:t>
      </w:r>
      <w:hyperlink r:id="rId18" w:anchor="100214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статья 12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Закона). Организация (группа) может разрабатывать программы самостоятельно, не опираясь на какую (какие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)-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либо примерные программы. Употребленный в данном </w:t>
      </w:r>
      <w:hyperlink r:id="rId19" w:anchor="100076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пункте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, а также в </w:t>
      </w:r>
      <w:hyperlink r:id="rId20" w:anchor="10022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Законе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термин "с учетом" означает право и </w:t>
      </w:r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предоставленную Организации возможность ознакомиться с существующими примерными программами,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(программ) ДОО.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6" w:name="100017"/>
      <w:bookmarkEnd w:id="16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Выбор режима работы дошкольной группы осуществляется Организацией самостоятельно (с учетом объема решаемых задач, мнений участников образовательных отношений). Таким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обеспечивается соответствие организационных особенностей реализации Программы ее содержанию. Для обеспечения бюджетного финансирования всего времени работы педагогического и учебно-вспомогательного персонала в группе продолжительность реализации Программы в сутки должна соответствовать выбранному режиму работы группы, что должно быть отражено в Программе.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группах, либо для каждого режима должны быть разработаны соответствующие программы (при этом различия этих программ могут быть незначительны). Право реализации нескольких основных общеобразовательных программ закреплено </w:t>
      </w:r>
      <w:hyperlink r:id="rId21" w:anchor="100214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статьей 12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Закона. Программа может соответствовать любому режиму работы группы, не превышающему 14 часов в сутки. В случае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если режим работы группы превышает 14 часов в сутки, Программа реализуется не более 14 часов от всего времени пребывания детей.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100018"/>
      <w:bookmarkEnd w:id="17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не подразумевает ограничений на оказание дополнительных платных образовательных услуг воспитанникам.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Получение воспитанниками таких услуг должно регламентироваться договорами (в соответствии с утвержденной примерной формой договора об образовании по образовательным программам дошкольного образования, </w:t>
      </w:r>
      <w:hyperlink r:id="rId22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России от 13 января 2014 г. N 8 (направлен в Минюст России на государственную регистрацию).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В случае если Программа реализуется в течение всего времени пребывания детей в Организации (продолжительность работы группы соответствует продолжительности реализации Программы)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группе. Поскольку дошкольное образование не является обязательным, родители (законные представители) воспитанника используют свое право на выбор формы получения ребенком образования и Организации, осуществляющей образовательную деятельность. При этом, в случае если хотя бы один ребенок фактически остается в группе, реализация Программы в ней не прекращается,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прерывается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лишь получение образования воспитанником, получающим дополнительную услугу. Поскольку дополнительное образование детей также является важным элементом развития детей, и ограничение их в его получении неконституционно, Организация не может повлиять на решение родителей о порядке посещения ребенком дошкольной группы. Независимо от количества детей в группе для обеспечения реализации Программы требуется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создать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необходимые кадровые условия. При этом финансовое обеспечение кадровых условий определяется в зависимости от нормативного количества детей в группе. Следовательно,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финансирования. Также, фактическое финансирование реализации Программы через обеспечение создания требуемых условий означает, что временное отсутствие ребенка в группе, не влияющее на изменение условий реализации Программы, не должно рассматриваться как нецелевое использование бюджетных средств. В то же время,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8" w:name="100019"/>
      <w:bookmarkEnd w:id="18"/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Комментарии к </w:t>
      </w:r>
      <w:hyperlink r:id="rId23" w:anchor="100094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 пункта 2.7 (первый абзац)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9" w:name="100020"/>
      <w:bookmarkEnd w:id="19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Указанная </w:t>
      </w:r>
      <w:hyperlink r:id="rId24" w:anchor="100094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норма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означает, что содержание образовательной программы (программ) ДОО не должно быть заранее расписано по конкретным образовательным областям, поскольку оно определяется конкретной ситуацией в группе, а именно: индивидуальными склонностями детей, их интересами, особенностями развития. Педагоги, работающие по программам, ориентированным на ребенка, обычно формируют содержание по ходу образовательной деятельности, решая задачи развития детей в зависимости от сложившейся образовательной ситуации, опираясь на интересы отдельного ребенка или группы детей. Это означает, что конкретное содержание образовательной программы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выполняет роль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средства развития, подбирается по мере постановки и решения развивающих задач и не всегда может быть задано заранее. Кроме того, на практике конкретное содержание образовательной деятельности обычно обеспечивает развитие детей одновременно в разных областях - например, в области социально-коммуникативного, познавательного и речевого развития, или социально-коммуникативного, художественно эстетического и физического развития и т.д. Таким образом,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0" w:name="100021"/>
      <w:bookmarkEnd w:id="20"/>
      <w:r w:rsidRPr="00314BB8">
        <w:rPr>
          <w:rFonts w:ascii="Times New Roman" w:eastAsia="Times New Roman" w:hAnsi="Times New Roman" w:cs="Times New Roman"/>
          <w:sz w:val="24"/>
          <w:szCs w:val="24"/>
        </w:rPr>
        <w:t>В то же время, существуют примерные программы, которые подробно расписывают определенное образовательное содержание. Если Организация принимает за основу своей Программы такую примерную программу, следует сделать ссылку именно на эту Программу.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1" w:name="100022"/>
      <w:bookmarkEnd w:id="21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25" w:anchor="100104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 пункта 2.9 (второй абзац)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2" w:name="100023"/>
      <w:bookmarkEnd w:id="22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hyperlink r:id="rId26" w:anchor="100104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статья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ФГОС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подчеркивает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взаимодополняющий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характер детского развития в пяти образовательных областях.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3" w:name="100024"/>
      <w:bookmarkEnd w:id="23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27" w:anchor="100106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 пункта 2.10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4" w:name="100025"/>
      <w:bookmarkEnd w:id="24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Соотношение частей образовательной программы носит рекомендательный характер и призвано примерно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оценить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пропорцию между обязательной частью программы и частью, формируемой участниками образовательных отношений. Надо иметь в виду, что необязательный характер уровня дошкольного образования не позволяет устанавливать жесткое соотношение частей программы ДОО.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возраста, предполагающей организацию образовательной деятельности в зависимости от индивидуальных особенностей каждого ребенка, что затрудняет строгое определение объема обязательной части программы в ДОО.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5" w:name="100026"/>
      <w:bookmarkEnd w:id="25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28" w:anchor="100145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пункта 3.1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6" w:name="100027"/>
      <w:bookmarkEnd w:id="26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данном </w:t>
      </w:r>
      <w:hyperlink r:id="rId29" w:anchor="100145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пункте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употребляются два сходных термина, которые, тем не менее, относятся к разному содержанию и которые следует различать: "развивающая предметно-пространственная среда" и "образовательная среда".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7" w:name="100028"/>
      <w:bookmarkEnd w:id="27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Развивающая предметно-пространственная среда - это специфические для каждой Программы Организации (группы) образовательное оборудование, материалы, мебель и </w:t>
      </w:r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>т.п., в сочетании с определенными принципами разделения пространства Организации (группы).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8" w:name="100029"/>
      <w:bookmarkEnd w:id="28"/>
      <w:r w:rsidRPr="00314BB8">
        <w:rPr>
          <w:rFonts w:ascii="Times New Roman" w:eastAsia="Times New Roman" w:hAnsi="Times New Roman" w:cs="Times New Roman"/>
          <w:sz w:val="24"/>
          <w:szCs w:val="24"/>
        </w:rPr>
        <w:t>Под образовательной средой подразумевается весь комплекс условий, которые обеспечивают развитие детей в дошкольной образовательной организации, в том числе развивающая предметно-пространственная среда, взаимодействие между педагогами и детьми, детская игра, развивающее предметное содержание образовательных областей и другие условия, перечисленные в Стандарте.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9" w:name="100030"/>
      <w:bookmarkEnd w:id="29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30" w:anchor="100166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пункта 3.2.2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и к </w:t>
      </w:r>
      <w:hyperlink r:id="rId31" w:anchor="100241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3.4.4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0" w:name="100031"/>
      <w:bookmarkEnd w:id="30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32" w:anchor="101040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частью 3 статьи 79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Закона под специальными условиями для получения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необходимую техническую помощь, проведение групповых и индивидуальных коррекционных занятий, обеспечение доступа в здания Организаций и другие условия, без которых невозможно или затруднено освоение Программ обучающимися с ограниченными возможностями здоровья.</w:t>
      </w:r>
      <w:proofErr w:type="gramEnd"/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1" w:name="100032"/>
      <w:bookmarkEnd w:id="31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33" w:anchor="100088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от 24 ноября 1995 г. N 181-ФЗ "О социальной защите инвалидов в Российской Федерации" (далее - Федеральный закон N 181-ФЗ) специальные условия должны быть внесены в индивидуальную программу реабилитации инвалида (далее - ИПР). ИПР является обязательной для исполнения всеми без исключения органами и организациями.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г. N 379н.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2" w:name="100033"/>
      <w:bookmarkEnd w:id="32"/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Объем и содержание услуг ассистента (помощника), оказывающего обучающимся необходимую техническую помощь, определяются Индивидуальной программой реабилитации инвалида (перечень реабилитационных мероприятий, направленных на восстановление способностей инвалида к бытовой, общественной, профессиональной деятельности в соответствии со структурой его потребностей, кругом интересов и уровнем притязаний (Постановление Министерства труда и социального развития Российской Федерации от 14 декабря 1996 г. N 14).</w:t>
      </w:r>
      <w:proofErr w:type="gramEnd"/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3" w:name="100034"/>
      <w:bookmarkEnd w:id="33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34" w:anchor="10016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пункта 3.2.3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4" w:name="100035"/>
      <w:bookmarkEnd w:id="34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Оценка индивидуального развития детей представлена в Стандарте в двух формах диагностики - педагогической и психологической. Под педагогической диагностикой понимается такая оценка развития детей, которая необходима педагогу, непосредственно работающему с детьми, для получения "обратной связи" в процессе взаимодействия с ребенком или с группой детей. При этом согласно данной </w:t>
      </w:r>
      <w:hyperlink r:id="rId35" w:anchor="10016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Стандарта такая оценка индивидуального развития детей, прежде всего, является профессиональным инструментом педагога,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5" w:name="100036"/>
      <w:bookmarkEnd w:id="35"/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hyperlink r:id="rId36" w:anchor="10016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предусмотрены задачи, для решения которых могут использоваться результаты педагогической диагностики: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6" w:name="100037"/>
      <w:bookmarkEnd w:id="36"/>
      <w:r w:rsidRPr="00314BB8">
        <w:rPr>
          <w:rFonts w:ascii="Times New Roman" w:eastAsia="Times New Roman" w:hAnsi="Times New Roman" w:cs="Times New Roman"/>
          <w:sz w:val="24"/>
          <w:szCs w:val="24"/>
        </w:rPr>
        <w:t>1. индивидуализация образования, которая 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7" w:name="100038"/>
      <w:bookmarkEnd w:id="37"/>
      <w:r w:rsidRPr="00314BB8">
        <w:rPr>
          <w:rFonts w:ascii="Times New Roman" w:eastAsia="Times New Roman" w:hAnsi="Times New Roman" w:cs="Times New Roman"/>
          <w:sz w:val="24"/>
          <w:szCs w:val="24"/>
        </w:rPr>
        <w:t>2. оптимизация работы с группой детей.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8" w:name="100039"/>
      <w:bookmarkEnd w:id="38"/>
      <w:r w:rsidRPr="00314BB8">
        <w:rPr>
          <w:rFonts w:ascii="Times New Roman" w:eastAsia="Times New Roman" w:hAnsi="Times New Roman" w:cs="Times New Roman"/>
          <w:sz w:val="24"/>
          <w:szCs w:val="24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самостоятельно. Данные, полученные в результате такой оценки, также являются профессиональными материалами самого педагога и не подлежат проверке в процессе контроля и надзора. Та или иная степень обязательности проведения педагогом педагогической диагностики определяется Программой. При этом проведение педагогической диагностики не может быть вменено в обязанность педагогу, если не созданы условия для ее проведения, включая обеспечение специального обучения. Контроль за эффективностью деятельности педагога, которая, в том числе, может включать педагогическую оценку, может проводиться в процессе независимой оценки качества образования в Организации (</w:t>
      </w:r>
      <w:hyperlink r:id="rId37" w:anchor="100060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подпункт 4 пункта 1.7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ФГОС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38" w:anchor="101300" w:history="1">
        <w:proofErr w:type="gramStart"/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статья</w:t>
        </w:r>
        <w:proofErr w:type="gramEnd"/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95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Закона).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9" w:name="100040"/>
      <w:bookmarkEnd w:id="39"/>
      <w:r w:rsidRPr="00314BB8">
        <w:rPr>
          <w:rFonts w:ascii="Times New Roman" w:eastAsia="Times New Roman" w:hAnsi="Times New Roman" w:cs="Times New Roman"/>
          <w:sz w:val="24"/>
          <w:szCs w:val="24"/>
        </w:rPr>
        <w:t>Психологическую диагностику индивидуального развития ребенка проводят по мере необходимости квалифицированные специалисты - психологи и/или педагоги-психологи.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0" w:name="100041"/>
      <w:bookmarkEnd w:id="40"/>
      <w:r w:rsidRPr="00314BB8">
        <w:rPr>
          <w:rFonts w:ascii="Times New Roman" w:eastAsia="Times New Roman" w:hAnsi="Times New Roman" w:cs="Times New Roman"/>
          <w:sz w:val="24"/>
          <w:szCs w:val="24"/>
        </w:rPr>
        <w:t>Для участия ребенка в психологической диагностике в обязательном порядке требуется согласие его родителей (законных представителей). Если Организация является экспериментальной площадкой (участником) относительно длительной исследовательской программы, этот факт должен быть отражен в Договоре между Организацией и родителями (законными представителями) ребенка с целью получения их информированного согласия на постоянное исследование развития ребенка.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1" w:name="100042"/>
      <w:bookmarkEnd w:id="41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Положением о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комиссии, утвержденным приказом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России от 20 сентября 2013 г. N 1082, ребенку с ограниченными возможностями здоровья необходимо пройти обследование на заседании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- ПМПК) и получить рекомендации.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2" w:name="100043"/>
      <w:bookmarkEnd w:id="42"/>
      <w:r w:rsidRPr="00314BB8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10 вышеуказанного Положения основными направлениями деятельности комиссии являются: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3" w:name="100044"/>
      <w:bookmarkEnd w:id="43"/>
      <w:r w:rsidRPr="00314BB8">
        <w:rPr>
          <w:rFonts w:ascii="Times New Roman" w:eastAsia="Times New Roman" w:hAnsi="Times New Roman" w:cs="Times New Roman"/>
          <w:sz w:val="24"/>
          <w:szCs w:val="24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4" w:name="100045"/>
      <w:bookmarkEnd w:id="44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б) подготовка по результатам обследования рекомендаций по оказанию детям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5" w:name="100046"/>
      <w:bookmarkEnd w:id="45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</w:t>
      </w:r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(общественно опасным) поведением;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6" w:name="100047"/>
      <w:bookmarkEnd w:id="46"/>
      <w:r w:rsidRPr="00314BB8">
        <w:rPr>
          <w:rFonts w:ascii="Times New Roman" w:eastAsia="Times New Roman" w:hAnsi="Times New Roman" w:cs="Times New Roman"/>
          <w:sz w:val="24"/>
          <w:szCs w:val="24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7" w:name="100048"/>
      <w:bookmarkEnd w:id="47"/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) осуществление учета данных о детях с ограниченными возможностями здоровья и (или)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(общественно опасным) поведением, проживающих на территории деятельности комиссии;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8" w:name="100049"/>
      <w:bookmarkEnd w:id="48"/>
      <w:r w:rsidRPr="00314BB8">
        <w:rPr>
          <w:rFonts w:ascii="Times New Roman" w:eastAsia="Times New Roman" w:hAnsi="Times New Roman" w:cs="Times New Roman"/>
          <w:sz w:val="24"/>
          <w:szCs w:val="24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9" w:name="100050"/>
      <w:bookmarkEnd w:id="49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его подписания.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0" w:name="100051"/>
      <w:bookmarkEnd w:id="50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оценка индивидуального развития ребенка направлена, прежде всего, на определение наличия условий для развития ребенка в соответствии с его возрастными особенностями, возможностями и индивидуальными склонностями. В отличие от заключения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- ПМПК), она не призвана выявлять особенности в физическом и (или) психическом развитии и (или) отклонений в поведении детей.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1" w:name="100052"/>
      <w:bookmarkEnd w:id="51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39" w:anchor="100174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пункта 3.2.4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2" w:name="100053"/>
      <w:bookmarkEnd w:id="52"/>
      <w:r w:rsidRPr="00314BB8">
        <w:rPr>
          <w:rFonts w:ascii="Times New Roman" w:eastAsia="Times New Roman" w:hAnsi="Times New Roman" w:cs="Times New Roman"/>
          <w:sz w:val="24"/>
          <w:szCs w:val="24"/>
        </w:rPr>
        <w:t>Предельная наполняемость Группы (включающей, в том числе, детей с ограниченными возможностями здоровья) определяется в соответствии с санитарно-эпидемиологическими правилами и нормативами.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3" w:name="100054"/>
      <w:bookmarkEnd w:id="53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40" w:anchor="100045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постановлением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15 мая 2013 г. N 26 "Об утверждении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организаций":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4" w:name="100055"/>
      <w:bookmarkEnd w:id="54"/>
      <w:r w:rsidRPr="00314BB8">
        <w:rPr>
          <w:rFonts w:ascii="Times New Roman" w:eastAsia="Times New Roman" w:hAnsi="Times New Roman" w:cs="Times New Roman"/>
          <w:sz w:val="24"/>
          <w:szCs w:val="24"/>
        </w:rPr>
        <w:t>1.11. Рекомендуемое количество детей в группах компенсирующей направленности для детей до 3 лет и старше 3 лет соответственно не должно превышать: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5" w:name="100056"/>
      <w:bookmarkEnd w:id="55"/>
      <w:r w:rsidRPr="00314BB8">
        <w:rPr>
          <w:rFonts w:ascii="Times New Roman" w:eastAsia="Times New Roman" w:hAnsi="Times New Roman" w:cs="Times New Roman"/>
          <w:sz w:val="24"/>
          <w:szCs w:val="24"/>
        </w:rPr>
        <w:t>- для детей с тяжелыми нарушениями речи - 6 и 10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6" w:name="100057"/>
      <w:bookmarkEnd w:id="56"/>
      <w:r w:rsidRPr="00314BB8">
        <w:rPr>
          <w:rFonts w:ascii="Times New Roman" w:eastAsia="Times New Roman" w:hAnsi="Times New Roman" w:cs="Times New Roman"/>
          <w:sz w:val="24"/>
          <w:szCs w:val="24"/>
        </w:rPr>
        <w:t>- для детей с фонетико-фонематическими нарушениями речи в возрасте старше 3 лет - 12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7" w:name="100058"/>
      <w:bookmarkEnd w:id="57"/>
      <w:r w:rsidRPr="00314BB8">
        <w:rPr>
          <w:rFonts w:ascii="Times New Roman" w:eastAsia="Times New Roman" w:hAnsi="Times New Roman" w:cs="Times New Roman"/>
          <w:sz w:val="24"/>
          <w:szCs w:val="24"/>
        </w:rPr>
        <w:t>- для глухих детей - 6 детей для обеих возрастных групп;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8" w:name="100059"/>
      <w:bookmarkEnd w:id="58"/>
      <w:r w:rsidRPr="00314BB8">
        <w:rPr>
          <w:rFonts w:ascii="Times New Roman" w:eastAsia="Times New Roman" w:hAnsi="Times New Roman" w:cs="Times New Roman"/>
          <w:sz w:val="24"/>
          <w:szCs w:val="24"/>
        </w:rPr>
        <w:t>- для слабослышащих детей - 6 и 8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9" w:name="100060"/>
      <w:bookmarkEnd w:id="59"/>
      <w:r w:rsidRPr="00314BB8">
        <w:rPr>
          <w:rFonts w:ascii="Times New Roman" w:eastAsia="Times New Roman" w:hAnsi="Times New Roman" w:cs="Times New Roman"/>
          <w:sz w:val="24"/>
          <w:szCs w:val="24"/>
        </w:rPr>
        <w:t>- для слепых детей - 6 детей для обеих возрастных групп;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0" w:name="100061"/>
      <w:bookmarkEnd w:id="60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- для слабовидящих детей, для детей с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амблиопией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>, косоглазием - 6 и 10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1" w:name="100062"/>
      <w:bookmarkEnd w:id="61"/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>- для детей с нарушениями опорно-двигательного аппарата - 6 и 8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2" w:name="100063"/>
      <w:bookmarkEnd w:id="62"/>
      <w:r w:rsidRPr="00314BB8">
        <w:rPr>
          <w:rFonts w:ascii="Times New Roman" w:eastAsia="Times New Roman" w:hAnsi="Times New Roman" w:cs="Times New Roman"/>
          <w:sz w:val="24"/>
          <w:szCs w:val="24"/>
        </w:rPr>
        <w:t>- для детей с задержкой психического развития - 6 и 10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3" w:name="100064"/>
      <w:bookmarkEnd w:id="63"/>
      <w:r w:rsidRPr="00314BB8">
        <w:rPr>
          <w:rFonts w:ascii="Times New Roman" w:eastAsia="Times New Roman" w:hAnsi="Times New Roman" w:cs="Times New Roman"/>
          <w:sz w:val="24"/>
          <w:szCs w:val="24"/>
        </w:rPr>
        <w:t>- для детей с умственной отсталостью легкой степени - 6 и 10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4" w:name="100065"/>
      <w:bookmarkEnd w:id="64"/>
      <w:r w:rsidRPr="00314BB8">
        <w:rPr>
          <w:rFonts w:ascii="Times New Roman" w:eastAsia="Times New Roman" w:hAnsi="Times New Roman" w:cs="Times New Roman"/>
          <w:sz w:val="24"/>
          <w:szCs w:val="24"/>
        </w:rPr>
        <w:t>- для детей с умственной отсталостью умеренной, тяжелой в возрасте старше 3 лет - 8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5" w:name="100066"/>
      <w:bookmarkEnd w:id="65"/>
      <w:r w:rsidRPr="00314BB8">
        <w:rPr>
          <w:rFonts w:ascii="Times New Roman" w:eastAsia="Times New Roman" w:hAnsi="Times New Roman" w:cs="Times New Roman"/>
          <w:sz w:val="24"/>
          <w:szCs w:val="24"/>
        </w:rPr>
        <w:t>- для детей с аутизмом только в возрасте старше 3 лет - 5 детей;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6" w:name="100067"/>
      <w:bookmarkEnd w:id="66"/>
      <w:r w:rsidRPr="00314BB8">
        <w:rPr>
          <w:rFonts w:ascii="Times New Roman" w:eastAsia="Times New Roman" w:hAnsi="Times New Roman" w:cs="Times New Roman"/>
          <w:sz w:val="24"/>
          <w:szCs w:val="24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7" w:name="100068"/>
      <w:bookmarkEnd w:id="67"/>
      <w:r w:rsidRPr="00314BB8">
        <w:rPr>
          <w:rFonts w:ascii="Times New Roman" w:eastAsia="Times New Roman" w:hAnsi="Times New Roman" w:cs="Times New Roman"/>
          <w:sz w:val="24"/>
          <w:szCs w:val="24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8" w:name="100069"/>
      <w:bookmarkEnd w:id="68"/>
      <w:r w:rsidRPr="00314BB8">
        <w:rPr>
          <w:rFonts w:ascii="Times New Roman" w:eastAsia="Times New Roman" w:hAnsi="Times New Roman" w:cs="Times New Roman"/>
          <w:sz w:val="24"/>
          <w:szCs w:val="24"/>
        </w:rPr>
        <w:t>1.12. В дошкольных образовательных организациях организация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9" w:name="100070"/>
      <w:bookmarkEnd w:id="69"/>
      <w:r w:rsidRPr="00314BB8">
        <w:rPr>
          <w:rFonts w:ascii="Times New Roman" w:eastAsia="Times New Roman" w:hAnsi="Times New Roman" w:cs="Times New Roman"/>
          <w:sz w:val="24"/>
          <w:szCs w:val="24"/>
        </w:rPr>
        <w:t>Рекомендуемое количество детей в группах комбинированной направленности: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0" w:name="100071"/>
      <w:bookmarkEnd w:id="70"/>
      <w:r w:rsidRPr="00314BB8">
        <w:rPr>
          <w:rFonts w:ascii="Times New Roman" w:eastAsia="Times New Roman" w:hAnsi="Times New Roman" w:cs="Times New Roman"/>
          <w:sz w:val="24"/>
          <w:szCs w:val="24"/>
        </w:rPr>
        <w:t>а) до 3 лет - не более 10 детей, в том числе не более 3 детей с ограниченными возможностями здоровья;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1" w:name="100072"/>
      <w:bookmarkEnd w:id="71"/>
      <w:r w:rsidRPr="00314BB8">
        <w:rPr>
          <w:rFonts w:ascii="Times New Roman" w:eastAsia="Times New Roman" w:hAnsi="Times New Roman" w:cs="Times New Roman"/>
          <w:sz w:val="24"/>
          <w:szCs w:val="24"/>
        </w:rPr>
        <w:t>б) старше 3 лет: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2" w:name="100073"/>
      <w:bookmarkEnd w:id="72"/>
      <w:r w:rsidRPr="00314BB8">
        <w:rPr>
          <w:rFonts w:ascii="Times New Roman" w:eastAsia="Times New Roman" w:hAnsi="Times New Roman" w:cs="Times New Roman"/>
          <w:sz w:val="24"/>
          <w:szCs w:val="24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3" w:name="100074"/>
      <w:bookmarkEnd w:id="73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- не более 15 детей, в том числе не более 4 слабовидящих и (или) детей с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амблиопией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4" w:name="100075"/>
      <w:bookmarkEnd w:id="74"/>
      <w:r w:rsidRPr="00314BB8">
        <w:rPr>
          <w:rFonts w:ascii="Times New Roman" w:eastAsia="Times New Roman" w:hAnsi="Times New Roman" w:cs="Times New Roman"/>
          <w:sz w:val="24"/>
          <w:szCs w:val="24"/>
        </w:rPr>
        <w:t>- не более 17 детей, в том числе не более 5 детей с задержкой психического развития.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5" w:name="100076"/>
      <w:bookmarkEnd w:id="75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41" w:anchor="100194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пункта 3.2.6 подпункта 1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6" w:name="100077"/>
      <w:bookmarkEnd w:id="76"/>
      <w:r w:rsidRPr="00314BB8">
        <w:rPr>
          <w:rFonts w:ascii="Times New Roman" w:eastAsia="Times New Roman" w:hAnsi="Times New Roman" w:cs="Times New Roman"/>
          <w:sz w:val="24"/>
          <w:szCs w:val="24"/>
        </w:rPr>
        <w:t>Полномочия по финансовому обеспечению создания в организации условий для дополнительного профессионального образования педагогических работников (</w:t>
      </w:r>
      <w:hyperlink r:id="rId42" w:anchor="101342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 2 статьи 99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Закона) относятся к полномочиям субъектов Российской Федерации. Необходимые средства должны быть доведены до Организации (государственной, муниципальной или частной) в составе норматива затрат, либо заложены в смету казенного учреждения. При этом,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(в том числе, оплата замещения </w:t>
      </w:r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>временно отсутствующего работника), так и для направления работников на обучение (оплата обучения, командировочные расходы).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7" w:name="100078"/>
      <w:bookmarkEnd w:id="77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43" w:anchor="10019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пункта 3.2.7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8" w:name="100079"/>
      <w:bookmarkEnd w:id="78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44" w:anchor="101038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частью 1 статьи 79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Закона: "... содержание образования и условия организации обучения и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ограниченными возможностями здоровья (далее - ОВЗ) определяются адаптированной образовательной программой, а для инвалидов также в соответствии с индивидуальной программой реабилитации инвалида". В связи с этим,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(отдельными документами) с учетом особенностей их психофизического развития и индивидуальных возможностей. Индивидуальную программу реабилитации разрабатывает Бюро медико-социальной экспертизы (в соответствии со </w:t>
      </w:r>
      <w:hyperlink r:id="rId45" w:anchor="100063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статьей 7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N 181-ФЗ). Условия должны быть созданы в соответствии с Рекомендациями ПМПК (приказ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России от 20 сентября 2013 г. N 1082 "Об утверждении Положения о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комиссии").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9" w:name="100080"/>
      <w:bookmarkEnd w:id="79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46" w:anchor="100233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пункта 3.3.5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0" w:name="100081"/>
      <w:bookmarkEnd w:id="80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47" w:anchor="100383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2 части 3 статьи 28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Закона к компетенции образовательной организации отнесено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со Стандартом. Таким образом, Организация самостоятельно утверждает перечень необходимых средств обучения, которые будут использоваться при реализации Программы. При этом средства обучения должны полностью соответствовать требованиям </w:t>
      </w:r>
      <w:hyperlink r:id="rId48" w:anchor="100212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пункта 3.3.4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Стандарта. Для обеспечения возможности Организации осуществлять самостоятельную закупку необходимых средств обучения норматив затрат, в соответствии с которым определяется бюджетное финансирование организации, должны учитываться расходы на приобретение необходимых средств обучения (в соответствии с методическими рекомендациями, направленными письмом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России от 1 октября 2013 г. N 08-1408).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1" w:name="100082"/>
      <w:bookmarkEnd w:id="81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49" w:anchor="100235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пункта 3.4.1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2" w:name="100083"/>
      <w:bookmarkEnd w:id="82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к кадровому обеспечению Стандарта деятельность руководящих работников, педагогических работников, учебно-вспомогательного персонала, работников, осуществляющих финансовую деятельность, охрану жизни и здоровья детей, необходимо рассматривать в полной мере как деятельность по обеспечению и реализации Программы. </w:t>
      </w:r>
      <w:hyperlink r:id="rId50" w:anchor="100009" w:history="1">
        <w:proofErr w:type="gramStart"/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Номенклатура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должностей руководящих, педагогических и учебно-вспомогательных работников утверждена постановлением Правительства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организаций", а также </w:t>
      </w:r>
      <w:hyperlink r:id="rId51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приказом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образования".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Федерации, осуществляющие управление в сфере образования, и не может быть переложена на уровень муниципалитетов или родителей. То есть средства на оплату труда указанных категорий персонала должны быть заложены в региональные нормативы </w:t>
      </w:r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>затрат. Финансовое обеспечение привлечения к реализации Программы научных работников остается на усмотрение субъекта Российской Федерации.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3" w:name="100084"/>
      <w:bookmarkEnd w:id="83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4 </w:t>
      </w:r>
      <w:hyperlink r:id="rId52" w:anchor="100380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части 2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53" w:anchor="100381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частью 3 статьи 28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Закона установление штатного расписания является компетенцией Организации. В то же время Организация должна исходить в первую очередь из задачи обеспечения требований Стандарта.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4" w:name="100085"/>
      <w:bookmarkEnd w:id="84"/>
      <w:r w:rsidRPr="00314BB8">
        <w:rPr>
          <w:rFonts w:ascii="Times New Roman" w:eastAsia="Times New Roman" w:hAnsi="Times New Roman" w:cs="Times New Roman"/>
          <w:sz w:val="24"/>
          <w:szCs w:val="24"/>
        </w:rPr>
        <w:t>Для сопровождения реализации Программы на протяжении всего времени реализации (в большинстве случаев соответствующего продолжительности работы группы) в каждой группе должны находиться не менее двух работников, в том числе одного воспитателя (или другого педагогического работника) и помощника воспитателя (младшего воспитателя). Таким образом, дети в любой момент должны находиться с одним или несколькими работниками Организации, принимающими участие в реализации Программы (с педагогическим и/или учебно-вспомогательным работником).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группах, в том числе в группах с различной направленностью Программ, а также особенности работы воспитателей в течение времени их совместного пребывания в Организации: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5" w:name="100086"/>
      <w:bookmarkEnd w:id="85"/>
      <w:r w:rsidRPr="00314BB8">
        <w:rPr>
          <w:rFonts w:ascii="Times New Roman" w:eastAsia="Times New Roman" w:hAnsi="Times New Roman" w:cs="Times New Roman"/>
          <w:sz w:val="24"/>
          <w:szCs w:val="24"/>
        </w:rPr>
        <w:t>при оформлении результатов наблюдения (мониторинга) за здоровьем, развитием и воспитанием детей, в том числе с помощью электронных форм;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6" w:name="100087"/>
      <w:bookmarkEnd w:id="86"/>
      <w:r w:rsidRPr="00314BB8">
        <w:rPr>
          <w:rFonts w:ascii="Times New Roman" w:eastAsia="Times New Roman" w:hAnsi="Times New Roman" w:cs="Times New Roman"/>
          <w:sz w:val="24"/>
          <w:szCs w:val="24"/>
        </w:rPr>
        <w:t>разработке плана (программы) воспитательной работы;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7" w:name="100088"/>
      <w:bookmarkEnd w:id="87"/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при участии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и иных мероприятиях, предусмотренных должностной инструкцией.</w:t>
      </w:r>
      <w:proofErr w:type="gramEnd"/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8" w:name="100089"/>
      <w:bookmarkEnd w:id="88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Необходимо также учитывать,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(например, инструкторы по физической культуре, музыкальные руководители, специалисты по художественному и эстетическому воспитанию, педагоги-психологи), а также должна осуществляться методическая поддержка реализации Программы. Для этого Организация самостоятельно устанавливает штатное расписание в пределах выделяемого финансирования. Таким образом, региональные нормативы затрат должны учитывать необходимость покрытия расходов Организации, связанных с привлечением всех категорий работников, предусмотренных </w:t>
      </w:r>
      <w:hyperlink r:id="rId54" w:anchor="100235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3.4.1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Стандарта.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9" w:name="100090"/>
      <w:bookmarkEnd w:id="89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55" w:anchor="100240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пунктов 3.4.3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56" w:anchor="100241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3.4.4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0" w:name="100091"/>
      <w:bookmarkEnd w:id="90"/>
      <w:r w:rsidRPr="00314BB8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работниками, дополнительно привлекаемыми для обеспечения реализации Программы в группах для детей с ОВЗ (</w:t>
      </w:r>
      <w:hyperlink r:id="rId57" w:anchor="100240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 3.4.3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Стандарта) и в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группах, в которых обучаются дети с ОВЗ (</w:t>
      </w:r>
      <w:hyperlink r:id="rId58" w:anchor="100240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 3.4.3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Стандарта), являются учителя-дефектологи, учителя-логопеды, а также, в случае необходимости, социальные педагоги. Рекомендованное количество соответствующих педагогов в расчете на одну группу (для обоих случаев) составляет 1 ставку на группу.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1" w:name="100092"/>
      <w:bookmarkEnd w:id="91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59" w:anchor="100253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III пункта 3.6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2" w:name="100093"/>
      <w:bookmarkEnd w:id="92"/>
      <w:r w:rsidRPr="00314B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предметно-развивающей среде и обязательства муниципалитета по финансовому обеспечению организации реализации Программы в учреждениях. При этом подробное распределение региональных и местных обязательств разъясняется письмом </w:t>
      </w:r>
      <w:proofErr w:type="spellStart"/>
      <w:r w:rsidRPr="00314BB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России от 1 октября 2013 г. N 08-1408.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3" w:name="100094"/>
      <w:bookmarkEnd w:id="93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60" w:anchor="10026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IV пункта 4.3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4" w:name="100095"/>
      <w:bookmarkEnd w:id="94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hyperlink r:id="rId61" w:anchor="100267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статья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Стандарта в соответствии с положениями </w:t>
      </w:r>
      <w:hyperlink r:id="rId62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Закона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 использование целевых ориентиров дошкольного образования для непосредственной оценки реальных достижений детей. Целевые ориентиры, представленные в </w:t>
      </w:r>
      <w:hyperlink r:id="rId63" w:anchor="100285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 4.6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Стандарта, отражают согласованные ожидания общества относительно дошкольного детства и представляют собой возрастной портрет ребенка, который не может быть непосредственно применен к отдельному ребенку.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5" w:name="100096"/>
      <w:bookmarkEnd w:id="95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Комментарии к </w:t>
      </w:r>
      <w:hyperlink r:id="rId64" w:anchor="100279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разделу IV пункта 4.5</w:t>
        </w:r>
      </w:hyperlink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6" w:name="100097"/>
      <w:bookmarkEnd w:id="96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hyperlink r:id="rId65" w:anchor="100279" w:history="1">
        <w:r w:rsidRPr="00314BB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пункте</w:t>
        </w:r>
      </w:hyperlink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содержится запрет на использование целевых ориентиров для решения ряда управленческих задач. Основанием для такого запрета является характер целевых ориентиров, которые не предполагают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достижением конкретных образовательных результатов детей. </w:t>
      </w:r>
      <w:proofErr w:type="gramStart"/>
      <w:r w:rsidRPr="00314BB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14BB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деятельностью в рамках реализации Программы в Организации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7" w:name="100098"/>
      <w:bookmarkEnd w:id="97"/>
      <w:r w:rsidRPr="00314BB8">
        <w:rPr>
          <w:rFonts w:ascii="Times New Roman" w:eastAsia="Times New Roman" w:hAnsi="Times New Roman" w:cs="Times New Roman"/>
          <w:sz w:val="24"/>
          <w:szCs w:val="24"/>
        </w:rPr>
        <w:t>Оценка выполнения муниципального (государственного) задания должна строиться на основании критериев, характеризующих создаваемые учреждением условия при реализации Программы. При расчете критериев, используемых для оценки выполнения бюджетных заданий, запрещается использовать показатели, соотносимые с характеристиками воспитанников организации.</w:t>
      </w:r>
    </w:p>
    <w:p w:rsidR="00314BB8" w:rsidRPr="00314BB8" w:rsidRDefault="00314BB8" w:rsidP="003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8" w:name="100099"/>
      <w:bookmarkEnd w:id="98"/>
      <w:r w:rsidRPr="00314BB8">
        <w:rPr>
          <w:rFonts w:ascii="Times New Roman" w:eastAsia="Times New Roman" w:hAnsi="Times New Roman" w:cs="Times New Roman"/>
          <w:sz w:val="24"/>
          <w:szCs w:val="24"/>
        </w:rPr>
        <w:t>Используемые в Организациях критерии для оценки эффективности деятельности отдельных работников должны быть построены на показателях, характеризующих создаваемые ими условия при реализации образовательной программы. Запрещается использовать показатели, соотносимые с характеристиками воспитанников Организации.</w:t>
      </w:r>
    </w:p>
    <w:p w:rsidR="00F34681" w:rsidRPr="00314BB8" w:rsidRDefault="00F34681"/>
    <w:sectPr w:rsidR="00F34681" w:rsidRPr="00314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BB8"/>
    <w:rsid w:val="00314BB8"/>
    <w:rsid w:val="00F3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4B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B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314B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14BB8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31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31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14BB8"/>
    <w:rPr>
      <w:color w:val="0000FF"/>
      <w:u w:val="single"/>
    </w:rPr>
  </w:style>
  <w:style w:type="paragraph" w:customStyle="1" w:styleId="pright">
    <w:name w:val="pright"/>
    <w:basedOn w:val="a"/>
    <w:rsid w:val="0031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galacts.ru/doc/prikaz-minobrnauki-rossii-ot-17102013-n-1155/" TargetMode="External"/><Relationship Id="rId18" Type="http://schemas.openxmlformats.org/officeDocument/2006/relationships/hyperlink" Target="http://legalacts.ru/doc/273_FZ-ob-obrazovanii/glava-2/statja-12/" TargetMode="External"/><Relationship Id="rId26" Type="http://schemas.openxmlformats.org/officeDocument/2006/relationships/hyperlink" Target="http://legalacts.ru/doc/prikaz-minobrnauki-rossii-ot-17102013-n-1155/" TargetMode="External"/><Relationship Id="rId39" Type="http://schemas.openxmlformats.org/officeDocument/2006/relationships/hyperlink" Target="http://legalacts.ru/doc/prikaz-minobrnauki-rossii-ot-17102013-n-1155/" TargetMode="External"/><Relationship Id="rId21" Type="http://schemas.openxmlformats.org/officeDocument/2006/relationships/hyperlink" Target="http://legalacts.ru/doc/273_FZ-ob-obrazovanii/glava-2/statja-12/" TargetMode="External"/><Relationship Id="rId34" Type="http://schemas.openxmlformats.org/officeDocument/2006/relationships/hyperlink" Target="http://legalacts.ru/doc/prikaz-minobrnauki-rossii-ot-17102013-n-1155/" TargetMode="External"/><Relationship Id="rId42" Type="http://schemas.openxmlformats.org/officeDocument/2006/relationships/hyperlink" Target="http://legalacts.ru/doc/273_FZ-ob-obrazovanii/glava-13/statja-99/" TargetMode="External"/><Relationship Id="rId47" Type="http://schemas.openxmlformats.org/officeDocument/2006/relationships/hyperlink" Target="http://legalacts.ru/doc/273_FZ-ob-obrazovanii/glava-3/statja-28/" TargetMode="External"/><Relationship Id="rId50" Type="http://schemas.openxmlformats.org/officeDocument/2006/relationships/hyperlink" Target="http://legalacts.ru/doc/postanovlenie-pravitelstva-rf-ot-08082013-n-678/" TargetMode="External"/><Relationship Id="rId55" Type="http://schemas.openxmlformats.org/officeDocument/2006/relationships/hyperlink" Target="http://legalacts.ru/doc/prikaz-minobrnauki-rossii-ot-17102013-n-1155/" TargetMode="External"/><Relationship Id="rId63" Type="http://schemas.openxmlformats.org/officeDocument/2006/relationships/hyperlink" Target="http://legalacts.ru/doc/prikaz-minobrnauki-rossii-ot-17102013-n-1155/" TargetMode="External"/><Relationship Id="rId7" Type="http://schemas.openxmlformats.org/officeDocument/2006/relationships/hyperlink" Target="http://legalacts.ru/doc/prikaz-minobrnauki-rossii-ot-17102013-n-115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prikaz-minobrnauki-rossii-ot-17102013-n-1155/" TargetMode="External"/><Relationship Id="rId29" Type="http://schemas.openxmlformats.org/officeDocument/2006/relationships/hyperlink" Target="http://legalacts.ru/doc/prikaz-minobrnauki-rossii-ot-17102013-n-1155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ismo-minobrnauki-rossii-ot-28022014-n-08-249/" TargetMode="External"/><Relationship Id="rId11" Type="http://schemas.openxmlformats.org/officeDocument/2006/relationships/hyperlink" Target="http://legalacts.ru/doc/prikaz-minobrnauki-rossii-ot-30082013-n-1014/" TargetMode="External"/><Relationship Id="rId24" Type="http://schemas.openxmlformats.org/officeDocument/2006/relationships/hyperlink" Target="http://legalacts.ru/doc/prikaz-minobrnauki-rossii-ot-17102013-n-1155/" TargetMode="External"/><Relationship Id="rId32" Type="http://schemas.openxmlformats.org/officeDocument/2006/relationships/hyperlink" Target="http://legalacts.ru/doc/273_FZ-ob-obrazovanii/glava-11/statja-79/" TargetMode="External"/><Relationship Id="rId37" Type="http://schemas.openxmlformats.org/officeDocument/2006/relationships/hyperlink" Target="http://legalacts.ru/doc/prikaz-minobrnauki-rossii-ot-17102013-n-1155/" TargetMode="External"/><Relationship Id="rId40" Type="http://schemas.openxmlformats.org/officeDocument/2006/relationships/hyperlink" Target="http://legalacts.ru/doc/postanovlenie-glavnogo-gosudarstvennogo-sanitarnogo-vracha-rf-ot-15052013-n/" TargetMode="External"/><Relationship Id="rId45" Type="http://schemas.openxmlformats.org/officeDocument/2006/relationships/hyperlink" Target="http://legalacts.ru/doc/federalnyi-zakon-ot-24111995-n-181-fz-o/" TargetMode="External"/><Relationship Id="rId53" Type="http://schemas.openxmlformats.org/officeDocument/2006/relationships/hyperlink" Target="http://legalacts.ru/doc/273_FZ-ob-obrazovanii/glava-3/statja-28/" TargetMode="External"/><Relationship Id="rId58" Type="http://schemas.openxmlformats.org/officeDocument/2006/relationships/hyperlink" Target="http://legalacts.ru/doc/prikaz-minobrnauki-rossii-ot-17102013-n-1155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legalacts.ru/doc/prikaz-minobrnauki-rossii-ot-17102013-n-1155/" TargetMode="External"/><Relationship Id="rId15" Type="http://schemas.openxmlformats.org/officeDocument/2006/relationships/hyperlink" Target="http://legalacts.ru/doc/prikaz-minobrnauki-rossii-ot-17102013-n-1155/" TargetMode="External"/><Relationship Id="rId23" Type="http://schemas.openxmlformats.org/officeDocument/2006/relationships/hyperlink" Target="http://legalacts.ru/doc/prikaz-minobrnauki-rossii-ot-17102013-n-1155/" TargetMode="External"/><Relationship Id="rId28" Type="http://schemas.openxmlformats.org/officeDocument/2006/relationships/hyperlink" Target="http://legalacts.ru/doc/prikaz-minobrnauki-rossii-ot-17102013-n-1155/" TargetMode="External"/><Relationship Id="rId36" Type="http://schemas.openxmlformats.org/officeDocument/2006/relationships/hyperlink" Target="http://legalacts.ru/doc/prikaz-minobrnauki-rossii-ot-17102013-n-1155/" TargetMode="External"/><Relationship Id="rId49" Type="http://schemas.openxmlformats.org/officeDocument/2006/relationships/hyperlink" Target="http://legalacts.ru/doc/prikaz-minobrnauki-rossii-ot-17102013-n-1155/" TargetMode="External"/><Relationship Id="rId57" Type="http://schemas.openxmlformats.org/officeDocument/2006/relationships/hyperlink" Target="http://legalacts.ru/doc/prikaz-minobrnauki-rossii-ot-17102013-n-1155/" TargetMode="External"/><Relationship Id="rId61" Type="http://schemas.openxmlformats.org/officeDocument/2006/relationships/hyperlink" Target="http://legalacts.ru/doc/prikaz-minobrnauki-rossii-ot-17102013-n-1155/" TargetMode="External"/><Relationship Id="rId10" Type="http://schemas.openxmlformats.org/officeDocument/2006/relationships/hyperlink" Target="http://legalacts.ru/doc/prikaz-minobrnauki-rossii-ot-17102013-n-1155/" TargetMode="External"/><Relationship Id="rId19" Type="http://schemas.openxmlformats.org/officeDocument/2006/relationships/hyperlink" Target="http://legalacts.ru/doc/prikaz-minobrnauki-rossii-ot-17102013-n-1155/" TargetMode="External"/><Relationship Id="rId31" Type="http://schemas.openxmlformats.org/officeDocument/2006/relationships/hyperlink" Target="http://legalacts.ru/doc/prikaz-minobrnauki-rossii-ot-17102013-n-1155/" TargetMode="External"/><Relationship Id="rId44" Type="http://schemas.openxmlformats.org/officeDocument/2006/relationships/hyperlink" Target="http://legalacts.ru/doc/273_FZ-ob-obrazovanii/glava-11/statja-79/" TargetMode="External"/><Relationship Id="rId52" Type="http://schemas.openxmlformats.org/officeDocument/2006/relationships/hyperlink" Target="http://legalacts.ru/doc/273_FZ-ob-obrazovanii/glava-3/statja-28/" TargetMode="External"/><Relationship Id="rId60" Type="http://schemas.openxmlformats.org/officeDocument/2006/relationships/hyperlink" Target="http://legalacts.ru/doc/prikaz-minobrnauki-rossii-ot-17102013-n-1155/" TargetMode="External"/><Relationship Id="rId65" Type="http://schemas.openxmlformats.org/officeDocument/2006/relationships/hyperlink" Target="http://legalacts.ru/doc/prikaz-minobrnauki-rossii-ot-17102013-n-1155/" TargetMode="External"/><Relationship Id="rId4" Type="http://schemas.openxmlformats.org/officeDocument/2006/relationships/hyperlink" Target="http://legalacts.ru/doc/pismo-minobrnauki-rossii-ot-28022014-n-08-249/" TargetMode="External"/><Relationship Id="rId9" Type="http://schemas.openxmlformats.org/officeDocument/2006/relationships/hyperlink" Target="http://legalacts.ru/doc/prikaz-minobrnauki-rossii-ot-17102013-n-1155/" TargetMode="External"/><Relationship Id="rId14" Type="http://schemas.openxmlformats.org/officeDocument/2006/relationships/hyperlink" Target="http://legalacts.ru/doc/prikaz-minobrnauki-rossii-ot-17102013-n-1155/" TargetMode="External"/><Relationship Id="rId22" Type="http://schemas.openxmlformats.org/officeDocument/2006/relationships/hyperlink" Target="http://legalacts.ru/doc/prikaz-minobrnauki-rossii-ot-13012014-n-8/" TargetMode="External"/><Relationship Id="rId27" Type="http://schemas.openxmlformats.org/officeDocument/2006/relationships/hyperlink" Target="http://legalacts.ru/doc/prikaz-minobrnauki-rossii-ot-17102013-n-1155/" TargetMode="External"/><Relationship Id="rId30" Type="http://schemas.openxmlformats.org/officeDocument/2006/relationships/hyperlink" Target="http://legalacts.ru/doc/prikaz-minobrnauki-rossii-ot-17102013-n-1155/" TargetMode="External"/><Relationship Id="rId35" Type="http://schemas.openxmlformats.org/officeDocument/2006/relationships/hyperlink" Target="http://legalacts.ru/doc/prikaz-minobrnauki-rossii-ot-17102013-n-1155/" TargetMode="External"/><Relationship Id="rId43" Type="http://schemas.openxmlformats.org/officeDocument/2006/relationships/hyperlink" Target="http://legalacts.ru/doc/prikaz-minobrnauki-rossii-ot-17102013-n-1155/" TargetMode="External"/><Relationship Id="rId48" Type="http://schemas.openxmlformats.org/officeDocument/2006/relationships/hyperlink" Target="http://legalacts.ru/doc/prikaz-minobrnauki-rossii-ot-17102013-n-1155/" TargetMode="External"/><Relationship Id="rId56" Type="http://schemas.openxmlformats.org/officeDocument/2006/relationships/hyperlink" Target="http://legalacts.ru/doc/prikaz-minobrnauki-rossii-ot-17102013-n-1155/" TargetMode="External"/><Relationship Id="rId64" Type="http://schemas.openxmlformats.org/officeDocument/2006/relationships/hyperlink" Target="http://legalacts.ru/doc/prikaz-minobrnauki-rossii-ot-17102013-n-1155/" TargetMode="External"/><Relationship Id="rId8" Type="http://schemas.openxmlformats.org/officeDocument/2006/relationships/hyperlink" Target="http://legalacts.ru/doc/prikaz-minobrnauki-rossii-ot-17102013-n-1155/" TargetMode="External"/><Relationship Id="rId51" Type="http://schemas.openxmlformats.org/officeDocument/2006/relationships/hyperlink" Target="http://legalacts.ru/doc/prikaz-minzdravsotsrazvitija-rf-ot-26082010-n-761n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egalacts.ru/doc/273_FZ-ob-obrazovanii/glava-1/statja-2/" TargetMode="External"/><Relationship Id="rId17" Type="http://schemas.openxmlformats.org/officeDocument/2006/relationships/hyperlink" Target="http://legalacts.ru/doc/prikaz-minobrnauki-rossii-ot-17102013-n-1155/" TargetMode="External"/><Relationship Id="rId25" Type="http://schemas.openxmlformats.org/officeDocument/2006/relationships/hyperlink" Target="http://legalacts.ru/doc/prikaz-minobrnauki-rossii-ot-17102013-n-1155/" TargetMode="External"/><Relationship Id="rId33" Type="http://schemas.openxmlformats.org/officeDocument/2006/relationships/hyperlink" Target="http://legalacts.ru/doc/federalnyi-zakon-ot-24111995-n-181-fz-o/" TargetMode="External"/><Relationship Id="rId38" Type="http://schemas.openxmlformats.org/officeDocument/2006/relationships/hyperlink" Target="http://legalacts.ru/doc/273_FZ-ob-obrazovanii/glava-12/statja-95/" TargetMode="External"/><Relationship Id="rId46" Type="http://schemas.openxmlformats.org/officeDocument/2006/relationships/hyperlink" Target="http://legalacts.ru/doc/prikaz-minobrnauki-rossii-ot-17102013-n-1155/" TargetMode="External"/><Relationship Id="rId59" Type="http://schemas.openxmlformats.org/officeDocument/2006/relationships/hyperlink" Target="http://legalacts.ru/doc/prikaz-minobrnauki-rossii-ot-17102013-n-1155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legalacts.ru/doc/273_FZ-ob-obrazovanii/glava-2/statja-12/" TargetMode="External"/><Relationship Id="rId41" Type="http://schemas.openxmlformats.org/officeDocument/2006/relationships/hyperlink" Target="http://legalacts.ru/doc/prikaz-minobrnauki-rossii-ot-17102013-n-1155/" TargetMode="External"/><Relationship Id="rId54" Type="http://schemas.openxmlformats.org/officeDocument/2006/relationships/hyperlink" Target="http://legalacts.ru/doc/prikaz-minobrnauki-rossii-ot-17102013-n-1155/" TargetMode="External"/><Relationship Id="rId62" Type="http://schemas.openxmlformats.org/officeDocument/2006/relationships/hyperlink" Target="http://legalacts.ru/doc/273_FZ-ob-obrazova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5622</Words>
  <Characters>32049</Characters>
  <Application>Microsoft Office Word</Application>
  <DocSecurity>0</DocSecurity>
  <Lines>267</Lines>
  <Paragraphs>75</Paragraphs>
  <ScaleCrop>false</ScaleCrop>
  <Company>SPecialiST RePack</Company>
  <LinksUpToDate>false</LinksUpToDate>
  <CharactersWithSpaces>37596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2018-03-12T05:23:00Z</dcterms:created>
  <dcterms:modified xsi:type="dcterms:W3CDTF">2018-03-12T05:29:00Z</dcterms:modified>
</cp:coreProperties>
</file>